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80" w:before="240" w:lineRule="auto"/>
        <w:rPr/>
      </w:pPr>
      <w:bookmarkStart w:colFirst="0" w:colLast="0" w:name="_7osrorm797tk" w:id="0"/>
      <w:bookmarkEnd w:id="0"/>
      <w:r w:rsidDel="00000000" w:rsidR="00000000" w:rsidRPr="00000000">
        <w:rPr>
          <w:rtl w:val="0"/>
        </w:rPr>
        <w:t xml:space="preserve">Newsletter Articles</w:t>
      </w:r>
      <w:r w:rsidDel="00000000" w:rsidR="00000000" w:rsidRPr="00000000">
        <w:rPr>
          <w:rtl w:val="0"/>
        </w:rPr>
      </w:r>
    </w:p>
    <w:p w:rsidR="00000000" w:rsidDel="00000000" w:rsidP="00000000" w:rsidRDefault="00000000" w:rsidRPr="00000000" w14:paraId="00000002">
      <w:pPr>
        <w:spacing w:after="80" w:before="240" w:lineRule="auto"/>
        <w:rPr/>
      </w:pPr>
      <w:r w:rsidDel="00000000" w:rsidR="00000000" w:rsidRPr="00000000">
        <w:rPr>
          <w:rFonts w:ascii="Roboto" w:cs="Roboto" w:eastAsia="Roboto" w:hAnsi="Roboto"/>
          <w:rtl w:val="0"/>
        </w:rPr>
        <w:t xml:space="preserve">Announce your participation: suggested newsletter copy (adapt as needed)</w:t>
      </w:r>
      <w:r w:rsidDel="00000000" w:rsidR="00000000" w:rsidRPr="00000000">
        <w:rPr>
          <w:rtl w:val="0"/>
        </w:rPr>
      </w:r>
    </w:p>
    <w:p w:rsidR="00000000" w:rsidDel="00000000" w:rsidP="00000000" w:rsidRDefault="00000000" w:rsidRPr="00000000" w14:paraId="00000003">
      <w:pPr>
        <w:spacing w:after="80" w:before="240" w:lineRule="auto"/>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______________________________________________________________________________________________</w:t>
      </w:r>
    </w:p>
    <w:p w:rsidR="00000000" w:rsidDel="00000000" w:rsidP="00000000" w:rsidRDefault="00000000" w:rsidRPr="00000000" w14:paraId="00000004">
      <w:pPr>
        <w:pStyle w:val="Heading1"/>
        <w:spacing w:after="240" w:before="240" w:lineRule="auto"/>
        <w:rPr/>
      </w:pPr>
      <w:bookmarkStart w:colFirst="0" w:colLast="0" w:name="_d93ezym8e4c" w:id="1"/>
      <w:bookmarkEnd w:id="1"/>
      <w:r w:rsidDel="00000000" w:rsidR="00000000" w:rsidRPr="00000000">
        <w:rPr>
          <w:rtl w:val="0"/>
        </w:rPr>
        <w:t xml:space="preserve">Announcement Article</w:t>
      </w:r>
    </w:p>
    <w:p w:rsidR="00000000" w:rsidDel="00000000" w:rsidP="00000000" w:rsidRDefault="00000000" w:rsidRPr="00000000" w14:paraId="00000005">
      <w:pPr>
        <w:spacing w:after="240" w:before="240" w:lineRule="auto"/>
        <w:rPr>
          <w:rFonts w:ascii="Roboto" w:cs="Roboto" w:eastAsia="Roboto" w:hAnsi="Roboto"/>
        </w:rPr>
      </w:pPr>
      <w:r w:rsidDel="00000000" w:rsidR="00000000" w:rsidRPr="00000000">
        <w:rPr>
          <w:rFonts w:ascii="Roboto" w:cs="Roboto" w:eastAsia="Roboto" w:hAnsi="Roboto"/>
          <w:b w:val="1"/>
          <w:bCs w:val="1"/>
          <w:rtl w:val="0"/>
        </w:rPr>
        <w:t xml:space="preserve">Headline: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is excited to be part of Publisher Collections on JSTOR — a new model that simplifies and scales ebook acquisition</w:t>
      </w:r>
    </w:p>
    <w:p w:rsidR="00000000" w:rsidDel="00000000" w:rsidP="00000000" w:rsidRDefault="00000000" w:rsidRPr="00000000" w14:paraId="00000006">
      <w:pPr>
        <w:spacing w:after="240" w:before="240" w:lineRule="auto"/>
        <w:rPr>
          <w:rFonts w:ascii="Roboto" w:cs="Roboto" w:eastAsia="Roboto" w:hAnsi="Roboto"/>
        </w:rPr>
      </w:pPr>
      <w:r w:rsidDel="00000000" w:rsidR="00000000" w:rsidRPr="00000000">
        <w:rPr>
          <w:rFonts w:ascii="Roboto" w:cs="Roboto" w:eastAsia="Roboto" w:hAnsi="Roboto"/>
          <w:b w:val="1"/>
          <w:bCs w:val="1"/>
          <w:rtl w:val="0"/>
        </w:rPr>
        <w:t xml:space="preserve">Body Copy:</w:t>
      </w:r>
      <w:r w:rsidDel="00000000" w:rsidR="00000000" w:rsidRPr="00000000">
        <w:rPr>
          <w:rFonts w:ascii="Roboto" w:cs="Roboto" w:eastAsia="Roboto" w:hAnsi="Roboto"/>
          <w:rtl w:val="0"/>
        </w:rPr>
        <w:t xml:space="preserve"> Libraries and publishers share a common goal: connecting people to knowledge that inspires learning and discovery. Yet, acquiring scholarly ebooks has often been more complex than it should be.</w:t>
      </w:r>
    </w:p>
    <w:p w:rsidR="00000000" w:rsidDel="00000000" w:rsidP="00000000" w:rsidRDefault="00000000" w:rsidRPr="00000000" w14:paraId="00000007">
      <w:pPr>
        <w:spacing w:after="200" w:before="240" w:lineRule="auto"/>
        <w:rPr>
          <w:rFonts w:ascii="Roboto" w:cs="Roboto" w:eastAsia="Roboto" w:hAnsi="Roboto"/>
        </w:rPr>
      </w:pPr>
      <w:r w:rsidDel="00000000" w:rsidR="00000000" w:rsidRPr="00000000">
        <w:rPr>
          <w:rFonts w:ascii="Roboto" w:cs="Roboto" w:eastAsia="Roboto" w:hAnsi="Roboto"/>
          <w:rtl w:val="0"/>
        </w:rPr>
        <w:t xml:space="preserve">Publisher Collections, a new initiative within Books at JSTOR, makes it easier for libraries everywhere to build rich, diverse collections from 22 publishers, including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Developed in collaboration with libraries and publishers, this model offers new, equitable ways to expand access to scholarly books alongside journals, research reports, and more on JSTOR’s trusted platform.</w:t>
      </w:r>
    </w:p>
    <w:p w:rsidR="00000000" w:rsidDel="00000000" w:rsidP="00000000" w:rsidRDefault="00000000" w:rsidRPr="00000000" w14:paraId="00000008">
      <w:pPr>
        <w:spacing w:after="200" w:before="240" w:lineRule="auto"/>
        <w:rPr>
          <w:rFonts w:ascii="Roboto" w:cs="Roboto" w:eastAsia="Roboto" w:hAnsi="Roboto"/>
        </w:rPr>
      </w:pPr>
      <w:r w:rsidDel="00000000" w:rsidR="00000000" w:rsidRPr="00000000">
        <w:rPr>
          <w:rFonts w:ascii="Roboto" w:cs="Roboto" w:eastAsia="Roboto" w:hAnsi="Roboto"/>
          <w:rtl w:val="0"/>
        </w:rPr>
        <w:t xml:space="preserve">Each collection includes a perpetual JSTOR license to current year title sets from </w:t>
      </w:r>
      <w:r w:rsidDel="00000000" w:rsidR="00000000" w:rsidRPr="00000000">
        <w:rPr>
          <w:rFonts w:ascii="Roboto" w:cs="Roboto" w:eastAsia="Roboto" w:hAnsi="Roboto"/>
          <w:highlight w:val="yellow"/>
          <w:rtl w:val="0"/>
        </w:rPr>
        <w:t xml:space="preserve">[Insert publisher name]’s</w:t>
      </w:r>
      <w:r w:rsidDel="00000000" w:rsidR="00000000" w:rsidRPr="00000000">
        <w:rPr>
          <w:rFonts w:ascii="Roboto" w:cs="Roboto" w:eastAsia="Roboto" w:hAnsi="Roboto"/>
          <w:rtl w:val="0"/>
        </w:rPr>
        <w:t xml:space="preserve">, plus access to our backlist for active participants, giving libraries a scalable, equitable way to support teaching and research.</w:t>
      </w:r>
    </w:p>
    <w:p w:rsidR="00000000" w:rsidDel="00000000" w:rsidP="00000000" w:rsidRDefault="00000000" w:rsidRPr="00000000" w14:paraId="00000009">
      <w:pPr>
        <w:spacing w:after="240" w:before="240" w:lineRule="auto"/>
        <w:rPr>
          <w:rFonts w:ascii="Roboto" w:cs="Roboto" w:eastAsia="Roboto" w:hAnsi="Roboto"/>
          <w:color w:val="1155cc"/>
          <w:u w:val="single"/>
        </w:rPr>
      </w:pPr>
      <w:r w:rsidDel="00000000" w:rsidR="00000000" w:rsidRPr="00000000">
        <w:rPr>
          <w:rFonts w:ascii="Roboto" w:cs="Roboto" w:eastAsia="Roboto" w:hAnsi="Roboto"/>
          <w:b w:val="1"/>
          <w:bCs w:val="1"/>
          <w:rtl w:val="0"/>
        </w:rPr>
        <w:t xml:space="preserve">Call to Action:</w:t>
      </w:r>
      <w:r w:rsidDel="00000000" w:rsidR="00000000" w:rsidRPr="00000000">
        <w:rPr>
          <w:rFonts w:ascii="Roboto" w:cs="Roboto" w:eastAsia="Roboto" w:hAnsi="Roboto"/>
          <w:rtl w:val="0"/>
        </w:rPr>
        <w:t xml:space="preserve"> See how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is contributing to</w:t>
      </w:r>
      <w:hyperlink r:id="rId6">
        <w:r w:rsidDel="00000000" w:rsidR="00000000" w:rsidRPr="00000000">
          <w:rPr>
            <w:rFonts w:ascii="Roboto" w:cs="Roboto" w:eastAsia="Roboto" w:hAnsi="Roboto"/>
            <w:rtl w:val="0"/>
          </w:rPr>
          <w:t xml:space="preserve"> </w:t>
        </w:r>
      </w:hyperlink>
      <w:hyperlink r:id="rId7">
        <w:r w:rsidDel="00000000" w:rsidR="00000000" w:rsidRPr="00000000">
          <w:rPr>
            <w:rFonts w:ascii="Roboto" w:cs="Roboto" w:eastAsia="Roboto" w:hAnsi="Roboto"/>
            <w:color w:val="1155cc"/>
            <w:u w:val="single"/>
            <w:rtl w:val="0"/>
          </w:rPr>
          <w:t xml:space="preserve">Publisher Collections</w:t>
        </w:r>
      </w:hyperlink>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1"/>
        <w:spacing w:after="240" w:before="240" w:lineRule="auto"/>
        <w:rPr>
          <w:rFonts w:ascii="Roboto" w:cs="Roboto" w:eastAsia="Roboto" w:hAnsi="Roboto"/>
        </w:rPr>
      </w:pPr>
      <w:bookmarkStart w:colFirst="0" w:colLast="0" w:name="_70zq8hn4zphc" w:id="2"/>
      <w:bookmarkEnd w:id="2"/>
      <w:r w:rsidDel="00000000" w:rsidR="00000000" w:rsidRPr="00000000">
        <w:rPr>
          <w:rFonts w:ascii="Roboto" w:cs="Roboto" w:eastAsia="Roboto" w:hAnsi="Roboto"/>
          <w:rtl w:val="0"/>
        </w:rPr>
        <w:t xml:space="preserve">Library Journal Webinar Article</w:t>
      </w:r>
    </w:p>
    <w:p w:rsidR="00000000" w:rsidDel="00000000" w:rsidP="00000000" w:rsidRDefault="00000000" w:rsidRPr="00000000" w14:paraId="0000000C">
      <w:pPr>
        <w:spacing w:after="240" w:before="240" w:lineRule="auto"/>
        <w:rPr>
          <w:rFonts w:ascii="Roboto" w:cs="Roboto" w:eastAsia="Roboto" w:hAnsi="Roboto"/>
        </w:rPr>
      </w:pPr>
      <w:r w:rsidDel="00000000" w:rsidR="00000000" w:rsidRPr="00000000">
        <w:rPr>
          <w:rFonts w:ascii="Roboto" w:cs="Roboto" w:eastAsia="Roboto" w:hAnsi="Roboto"/>
          <w:b w:val="1"/>
          <w:bCs w:val="1"/>
          <w:rtl w:val="0"/>
        </w:rPr>
        <w:t xml:space="preserve">Headline: </w:t>
      </w:r>
      <w:r w:rsidDel="00000000" w:rsidR="00000000" w:rsidRPr="00000000">
        <w:rPr>
          <w:rFonts w:ascii="Roboto" w:cs="Roboto" w:eastAsia="Roboto" w:hAnsi="Roboto"/>
          <w:rtl w:val="0"/>
        </w:rPr>
        <w:t xml:space="preserve">JSTOR + LJ Webinar:</w:t>
      </w:r>
      <w:r w:rsidDel="00000000" w:rsidR="00000000" w:rsidRPr="00000000">
        <w:rPr>
          <w:rFonts w:ascii="Roboto" w:cs="Roboto" w:eastAsia="Roboto" w:hAnsi="Roboto"/>
          <w:rtl w:val="0"/>
        </w:rPr>
        <w:t xml:space="preserve"> Explore a Sustainable, Community-Driven Model for Scholarly Ebooks</w:t>
      </w:r>
    </w:p>
    <w:p w:rsidR="00000000" w:rsidDel="00000000" w:rsidP="00000000" w:rsidRDefault="00000000" w:rsidRPr="00000000" w14:paraId="0000000D">
      <w:pPr>
        <w:spacing w:after="240" w:before="240" w:lineRule="auto"/>
        <w:rPr>
          <w:rFonts w:ascii="Roboto" w:cs="Roboto" w:eastAsia="Roboto" w:hAnsi="Roboto"/>
        </w:rPr>
      </w:pPr>
      <w:r w:rsidDel="00000000" w:rsidR="00000000" w:rsidRPr="00000000">
        <w:rPr>
          <w:rFonts w:ascii="Roboto" w:cs="Roboto" w:eastAsia="Roboto" w:hAnsi="Roboto"/>
          <w:b w:val="1"/>
          <w:bCs w:val="1"/>
          <w:rtl w:val="0"/>
        </w:rPr>
        <w:t xml:space="preserve">Body Copy: </w:t>
      </w:r>
      <w:r w:rsidDel="00000000" w:rsidR="00000000" w:rsidRPr="00000000">
        <w:rPr>
          <w:rFonts w:ascii="Roboto" w:cs="Roboto" w:eastAsia="Roboto" w:hAnsi="Roboto"/>
          <w:rtl w:val="0"/>
        </w:rPr>
        <w:t xml:space="preserve">How can libraries expand access to vital scholarly ebooks while supporting the presses that publish them? Join JSTOR and </w:t>
      </w:r>
      <w:r w:rsidDel="00000000" w:rsidR="00000000" w:rsidRPr="00000000">
        <w:rPr>
          <w:rFonts w:ascii="Roboto" w:cs="Roboto" w:eastAsia="Roboto" w:hAnsi="Roboto"/>
          <w:i w:val="1"/>
          <w:iCs w:val="1"/>
          <w:rtl w:val="0"/>
        </w:rPr>
        <w:t xml:space="preserve">Library Journal</w:t>
      </w:r>
      <w:r w:rsidDel="00000000" w:rsidR="00000000" w:rsidRPr="00000000">
        <w:rPr>
          <w:rFonts w:ascii="Roboto" w:cs="Roboto" w:eastAsia="Roboto" w:hAnsi="Roboto"/>
          <w:rtl w:val="0"/>
        </w:rPr>
        <w:t xml:space="preserve"> for a free webinar, </w:t>
      </w:r>
      <w:r w:rsidDel="00000000" w:rsidR="00000000" w:rsidRPr="00000000">
        <w:rPr>
          <w:rFonts w:ascii="Roboto" w:cs="Roboto" w:eastAsia="Roboto" w:hAnsi="Roboto"/>
          <w:i w:val="1"/>
          <w:iCs w:val="1"/>
          <w:rtl w:val="0"/>
        </w:rPr>
        <w:t xml:space="preserve">Publisher Collections: Exploring a Sustainable, Community-Driven Model for Scholarly Ebooks</w:t>
      </w:r>
      <w:r w:rsidDel="00000000" w:rsidR="00000000" w:rsidRPr="00000000">
        <w:rPr>
          <w:rFonts w:ascii="Roboto" w:cs="Roboto" w:eastAsia="Roboto" w:hAnsi="Roboto"/>
          <w:rtl w:val="0"/>
        </w:rPr>
        <w:t xml:space="preserve">.</w:t>
      </w:r>
    </w:p>
    <w:p w:rsidR="00000000" w:rsidDel="00000000" w:rsidP="00000000" w:rsidRDefault="00000000" w:rsidRPr="00000000" w14:paraId="0000000E">
      <w:pPr>
        <w:spacing w:after="240" w:before="240" w:lineRule="auto"/>
        <w:rPr>
          <w:rFonts w:ascii="Roboto" w:cs="Roboto" w:eastAsia="Roboto" w:hAnsi="Roboto"/>
        </w:rPr>
      </w:pPr>
      <w:r w:rsidDel="00000000" w:rsidR="00000000" w:rsidRPr="00000000">
        <w:rPr>
          <w:rFonts w:ascii="Roboto" w:cs="Roboto" w:eastAsia="Roboto" w:hAnsi="Roboto"/>
          <w:rtl w:val="0"/>
        </w:rPr>
        <w:t xml:space="preserve">Developed with input from more than 175 librarians, 60 publishers, and a dedicated working group, Publisher Collections is a nonprofit-led model designed to broaden access to scholarly books in equitable and sustainable ways. Each collection includes a perpetual JSTOR license to current year titles, access to backlist titles for active participants, and a tiered fee structure based on JSTOR classification.</w:t>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Fonts w:ascii="Roboto" w:cs="Roboto" w:eastAsia="Roboto" w:hAnsi="Roboto"/>
          <w:rtl w:val="0"/>
        </w:rPr>
        <w:t xml:space="preserve">Along with [</w:t>
      </w:r>
      <w:r w:rsidDel="00000000" w:rsidR="00000000" w:rsidRPr="00000000">
        <w:rPr>
          <w:rFonts w:ascii="Roboto" w:cs="Roboto" w:eastAsia="Roboto" w:hAnsi="Roboto"/>
          <w:highlight w:val="yellow"/>
          <w:rtl w:val="0"/>
        </w:rPr>
        <w:t xml:space="preserve">Insert publisher name</w:t>
      </w:r>
      <w:r w:rsidDel="00000000" w:rsidR="00000000" w:rsidRPr="00000000">
        <w:rPr>
          <w:rFonts w:ascii="Roboto" w:cs="Roboto" w:eastAsia="Roboto" w:hAnsi="Roboto"/>
          <w:rtl w:val="0"/>
        </w:rPr>
        <w:t xml:space="preserve">], 21 presses are participating in this new model. Speakers from the Big Ten Academic Alliance, UNC Press, Liverpool University Press, and JSTOR will share the story of how Publisher Collections came to life—why it matters, the challenges it addresses, the turning point that shaped the model, how it works in practice, what comes next, and how you can get involved.</w:t>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Fonts w:ascii="Roboto" w:cs="Roboto" w:eastAsia="Roboto" w:hAnsi="Roboto"/>
          <w:b w:val="1"/>
          <w:bCs w:val="1"/>
          <w:rtl w:val="0"/>
        </w:rPr>
        <w:t xml:space="preserve">Call to Action:</w:t>
      </w:r>
      <w:r w:rsidDel="00000000" w:rsidR="00000000" w:rsidRPr="00000000">
        <w:rPr>
          <w:rFonts w:ascii="Roboto" w:cs="Roboto" w:eastAsia="Roboto" w:hAnsi="Roboto"/>
          <w:rtl w:val="0"/>
        </w:rPr>
        <w:t xml:space="preserve"> </w:t>
      </w:r>
      <w:hyperlink r:id="rId8">
        <w:r w:rsidDel="00000000" w:rsidR="00000000" w:rsidRPr="00000000">
          <w:rPr>
            <w:rFonts w:ascii="Roboto" w:cs="Roboto" w:eastAsia="Roboto" w:hAnsi="Roboto"/>
            <w:color w:val="1155cc"/>
            <w:u w:val="single"/>
            <w:rtl w:val="0"/>
          </w:rPr>
          <w:t xml:space="preserve">Register</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bout.jstor.org/blog/a-new-model-for-scholarly-ebooks-publisher-collections/" TargetMode="External"/><Relationship Id="rId7" Type="http://schemas.openxmlformats.org/officeDocument/2006/relationships/hyperlink" Target="https://about.jstor.org/blog/a-new-model-for-scholarly-ebooks-publisher-collections/" TargetMode="External"/><Relationship Id="rId8" Type="http://schemas.openxmlformats.org/officeDocument/2006/relationships/hyperlink" Target="https://event.on24.com/wcc/r/5116264/71EE9B02B90D7EECC921142B3FB1AE15?partnerref=LJJSTOR111325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