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before="240" w:lineRule="auto"/>
        <w:rPr/>
      </w:pPr>
      <w:bookmarkStart w:colFirst="0" w:colLast="0" w:name="_1m97m2axi5l4" w:id="0"/>
      <w:bookmarkEnd w:id="0"/>
      <w:r w:rsidDel="00000000" w:rsidR="00000000" w:rsidRPr="00000000">
        <w:rPr>
          <w:rtl w:val="0"/>
        </w:rPr>
        <w:t xml:space="preserve">News Item/Website Copy</w:t>
      </w:r>
      <w:r w:rsidDel="00000000" w:rsidR="00000000" w:rsidRPr="00000000">
        <w:rPr>
          <w:rtl w:val="0"/>
        </w:rPr>
      </w:r>
    </w:p>
    <w:p w:rsidR="00000000" w:rsidDel="00000000" w:rsidP="00000000" w:rsidRDefault="00000000" w:rsidRPr="00000000" w14:paraId="00000002">
      <w:pPr>
        <w:spacing w:after="80" w:before="240" w:lineRule="auto"/>
        <w:rPr>
          <w:rFonts w:ascii="Roboto" w:cs="Roboto" w:eastAsia="Roboto" w:hAnsi="Roboto"/>
        </w:rPr>
      </w:pPr>
      <w:r w:rsidDel="00000000" w:rsidR="00000000" w:rsidRPr="00000000">
        <w:rPr>
          <w:rFonts w:ascii="Roboto" w:cs="Roboto" w:eastAsia="Roboto" w:hAnsi="Roboto"/>
          <w:rtl w:val="0"/>
        </w:rPr>
        <w:t xml:space="preserve">Announce your participation: suggested news item/website copy (adapt as needed)</w:t>
      </w:r>
    </w:p>
    <w:p w:rsidR="00000000" w:rsidDel="00000000" w:rsidP="00000000" w:rsidRDefault="00000000" w:rsidRPr="00000000" w14:paraId="00000003">
      <w:pPr>
        <w:spacing w:after="240" w:before="240" w:lineRule="auto"/>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______________________________________________________________________________________________</w:t>
      </w:r>
    </w:p>
    <w:p w:rsidR="00000000" w:rsidDel="00000000" w:rsidP="00000000" w:rsidRDefault="00000000" w:rsidRPr="00000000" w14:paraId="00000004">
      <w:pPr>
        <w:spacing w:after="240" w:before="240" w:lineRule="auto"/>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t xml:space="preserve">[Publisher name] has joined Publisher Collections on JSTOR</w:t>
      </w:r>
    </w:p>
    <w:p w:rsidR="00000000" w:rsidDel="00000000" w:rsidP="00000000" w:rsidRDefault="00000000" w:rsidRPr="00000000" w14:paraId="00000005">
      <w:pPr>
        <w:spacing w:after="240" w:before="240" w:lineRule="auto"/>
        <w:rPr>
          <w:rFonts w:ascii="Roboto" w:cs="Roboto" w:eastAsia="Roboto" w:hAnsi="Roboto"/>
        </w:rPr>
      </w:pPr>
      <w:r w:rsidDel="00000000" w:rsidR="00000000" w:rsidRPr="00000000">
        <w:rPr>
          <w:rFonts w:ascii="Roboto" w:cs="Roboto" w:eastAsia="Roboto" w:hAnsi="Roboto"/>
          <w:rtl w:val="0"/>
        </w:rPr>
        <w:t xml:space="preserve">We’re excited to announce our participation in</w:t>
      </w:r>
      <w:hyperlink r:id="rId6">
        <w:r w:rsidDel="00000000" w:rsidR="00000000" w:rsidRPr="00000000">
          <w:rPr>
            <w:rFonts w:ascii="Roboto" w:cs="Roboto" w:eastAsia="Roboto" w:hAnsi="Roboto"/>
            <w:color w:val="1155cc"/>
            <w:rtl w:val="0"/>
          </w:rPr>
          <w:t xml:space="preserve"> </w:t>
        </w:r>
      </w:hyperlink>
      <w:hyperlink r:id="rId7">
        <w:r w:rsidDel="00000000" w:rsidR="00000000" w:rsidRPr="00000000">
          <w:rPr>
            <w:rFonts w:ascii="Roboto" w:cs="Roboto" w:eastAsia="Roboto" w:hAnsi="Roboto"/>
            <w:color w:val="1155cc"/>
            <w:u w:val="single"/>
            <w:rtl w:val="0"/>
          </w:rPr>
          <w:t xml:space="preserve">Publisher Collections</w:t>
        </w:r>
      </w:hyperlink>
      <w:r w:rsidDel="00000000" w:rsidR="00000000" w:rsidRPr="00000000">
        <w:rPr>
          <w:rFonts w:ascii="Roboto" w:cs="Roboto" w:eastAsia="Roboto" w:hAnsi="Roboto"/>
          <w:rtl w:val="0"/>
        </w:rPr>
        <w:t xml:space="preserve">, an innovative acquisition model within the Books at JSTOR program. Starting in 2026, Publisher Collections on JSTOR will enable libraries around the world to acquire new publication year books and get seamless access to all earlier titles from 22 publishers, including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The model responds directly to the needs of libraries and publishers for a diverse and affordable books acquisition model.</w:t>
      </w:r>
    </w:p>
    <w:p w:rsidR="00000000" w:rsidDel="00000000" w:rsidP="00000000" w:rsidRDefault="00000000" w:rsidRPr="00000000" w14:paraId="00000006">
      <w:pPr>
        <w:spacing w:after="200" w:before="240" w:lineRule="auto"/>
        <w:rPr>
          <w:rFonts w:ascii="Roboto" w:cs="Roboto" w:eastAsia="Roboto" w:hAnsi="Roboto"/>
        </w:rPr>
      </w:pPr>
      <w:r w:rsidDel="00000000" w:rsidR="00000000" w:rsidRPr="00000000">
        <w:rPr>
          <w:rFonts w:ascii="Roboto" w:cs="Roboto" w:eastAsia="Roboto" w:hAnsi="Roboto"/>
          <w:rtl w:val="0"/>
        </w:rPr>
        <w:t xml:space="preserve">Publisher Collections on JSTOR encourages equitable, broad access to scholarship, and along with other publishers, [Insert publisher name]’s Publisher Collection will provide:</w:t>
      </w:r>
    </w:p>
    <w:p w:rsidR="00000000" w:rsidDel="00000000" w:rsidP="00000000" w:rsidRDefault="00000000" w:rsidRPr="00000000" w14:paraId="00000007">
      <w:pPr>
        <w:spacing w:after="240" w:before="240" w:lineRule="auto"/>
        <w:ind w:left="720" w:firstLine="0"/>
        <w:rPr>
          <w:rFonts w:ascii="Roboto" w:cs="Roboto" w:eastAsia="Roboto" w:hAnsi="Roboto"/>
          <w:highlight w:val="yellow"/>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A perpetual JSTOR license to current year title sets from </w:t>
      </w:r>
      <w:r w:rsidDel="00000000" w:rsidR="00000000" w:rsidRPr="00000000">
        <w:rPr>
          <w:rFonts w:ascii="Roboto" w:cs="Roboto" w:eastAsia="Roboto" w:hAnsi="Roboto"/>
          <w:highlight w:val="yellow"/>
          <w:rtl w:val="0"/>
        </w:rPr>
        <w:t xml:space="preserve">[Insert publisher name]</w:t>
      </w:r>
    </w:p>
    <w:p w:rsidR="00000000" w:rsidDel="00000000" w:rsidP="00000000" w:rsidRDefault="00000000" w:rsidRPr="00000000" w14:paraId="00000008">
      <w:pPr>
        <w:spacing w:after="240" w:before="240" w:lineRule="auto"/>
        <w:ind w:left="720" w:firstLine="0"/>
        <w:rPr>
          <w:rFonts w:ascii="Roboto" w:cs="Roboto" w:eastAsia="Roboto" w:hAnsi="Roboto"/>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Access to all backlist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titles on JSTOR for active participants</w:t>
      </w:r>
    </w:p>
    <w:p w:rsidR="00000000" w:rsidDel="00000000" w:rsidP="00000000" w:rsidRDefault="00000000" w:rsidRPr="00000000" w14:paraId="00000009">
      <w:pPr>
        <w:spacing w:after="240" w:before="240" w:lineRule="auto"/>
        <w:ind w:left="720" w:firstLine="0"/>
        <w:rPr>
          <w:rFonts w:ascii="Roboto" w:cs="Roboto" w:eastAsia="Roboto" w:hAnsi="Roboto"/>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An innovative, tiered approach to publisher-set fees based on JSTOR’s classification methodology</w:t>
      </w:r>
    </w:p>
    <w:p w:rsidR="00000000" w:rsidDel="00000000" w:rsidP="00000000" w:rsidRDefault="00000000" w:rsidRPr="00000000" w14:paraId="0000000A">
      <w:pPr>
        <w:spacing w:after="200" w:lineRule="auto"/>
        <w:ind w:left="720" w:firstLine="0"/>
        <w:rPr>
          <w:rFonts w:ascii="Roboto" w:cs="Roboto" w:eastAsia="Roboto" w:hAnsi="Roboto"/>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International country savings aligned with JSTOR’s Archive program where elgible</w:t>
      </w:r>
    </w:p>
    <w:p w:rsidR="00000000" w:rsidDel="00000000" w:rsidP="00000000" w:rsidRDefault="00000000" w:rsidRPr="00000000" w14:paraId="0000000B">
      <w:pPr>
        <w:spacing w:after="200" w:before="240" w:lineRule="auto"/>
        <w:rPr>
          <w:rFonts w:ascii="Roboto" w:cs="Roboto" w:eastAsia="Roboto" w:hAnsi="Roboto"/>
        </w:rPr>
      </w:pPr>
      <w:r w:rsidDel="00000000" w:rsidR="00000000" w:rsidRPr="00000000">
        <w:rPr>
          <w:rFonts w:ascii="Roboto" w:cs="Roboto" w:eastAsia="Roboto" w:hAnsi="Roboto"/>
          <w:rtl w:val="0"/>
        </w:rPr>
        <w:t xml:space="preserve">Like all titles in the Books at JSTOR program,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’s Publisher Collection will be DRM-free and searchable alongside journal articles, research reports, images, and multimedia on JSTOR’s trusted platform.</w:t>
      </w:r>
    </w:p>
    <w:p w:rsidR="00000000" w:rsidDel="00000000" w:rsidP="00000000" w:rsidRDefault="00000000" w:rsidRPr="00000000" w14:paraId="0000000C">
      <w:pPr>
        <w:spacing w:after="240" w:before="240"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[Insert quote from publisher leader]</w:t>
      </w:r>
    </w:p>
    <w:p w:rsidR="00000000" w:rsidDel="00000000" w:rsidP="00000000" w:rsidRDefault="00000000" w:rsidRPr="00000000" w14:paraId="0000000D">
      <w:pPr>
        <w:spacing w:after="200" w:before="240" w:lineRule="auto"/>
        <w:rPr>
          <w:rFonts w:ascii="Roboto" w:cs="Roboto" w:eastAsia="Roboto" w:hAnsi="Roboto"/>
        </w:rPr>
      </w:pPr>
      <w:r w:rsidDel="00000000" w:rsidR="00000000" w:rsidRPr="00000000">
        <w:rPr>
          <w:rFonts w:ascii="Roboto" w:cs="Roboto" w:eastAsia="Roboto" w:hAnsi="Roboto"/>
          <w:rtl w:val="0"/>
        </w:rPr>
        <w:t xml:space="preserve">In developing this model, JSTOR collaborated with library and press leaders to create a solution that meets their needs while enhancing the sustainability of the nonprofit publishing ecosystem. In a survey of 175 library decision-makers evaluating the model, nearly 70% agreed it addresses today’s library challenges, including flat budgets, platform sprawl, and the need for perpetual access.</w:t>
      </w:r>
    </w:p>
    <w:p w:rsidR="00000000" w:rsidDel="00000000" w:rsidP="00000000" w:rsidRDefault="00000000" w:rsidRPr="00000000" w14:paraId="0000000E">
      <w:pPr>
        <w:spacing w:after="240" w:before="240" w:lineRule="auto"/>
        <w:rPr>
          <w:rFonts w:ascii="Roboto" w:cs="Roboto" w:eastAsia="Roboto" w:hAnsi="Roboto"/>
        </w:rPr>
      </w:pPr>
      <w:r w:rsidDel="00000000" w:rsidR="00000000" w:rsidRPr="00000000">
        <w:rPr>
          <w:rFonts w:ascii="Roboto" w:cs="Roboto" w:eastAsia="Roboto" w:hAnsi="Roboto"/>
          <w:rtl w:val="0"/>
        </w:rPr>
        <w:t xml:space="preserve">Publisher Collections is the latest step in JSTOR’s work with the community to deliver values-aligned, scalable solutions to industry-wide challenges. Rebecca Seger, Vice President of Institutional Participation and Strategic Partnerships at ITHAKA remarked, “This is the right model at the right time. We’re pleased that we’ve crafted a nonprofit-led, collaborative approach that promises to achieve widespread impact for authors and readers.”</w:t>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is looking forward to partnering with JSTOR in this new initiative. Learn more about</w:t>
      </w:r>
      <w:hyperlink r:id="rId8">
        <w:r w:rsidDel="00000000" w:rsidR="00000000" w:rsidRPr="00000000">
          <w:rPr>
            <w:rFonts w:ascii="Roboto" w:cs="Roboto" w:eastAsia="Roboto" w:hAnsi="Roboto"/>
            <w:rtl w:val="0"/>
          </w:rPr>
          <w:t xml:space="preserve"> </w:t>
        </w:r>
      </w:hyperlink>
      <w:hyperlink r:id="rId9">
        <w:r w:rsidDel="00000000" w:rsidR="00000000" w:rsidRPr="00000000">
          <w:rPr>
            <w:rFonts w:ascii="Roboto" w:cs="Roboto" w:eastAsia="Roboto" w:hAnsi="Roboto"/>
            <w:color w:val="1155cc"/>
            <w:u w:val="single"/>
            <w:rtl w:val="0"/>
          </w:rPr>
          <w:t xml:space="preserve">Publisher Collections</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10">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Media Contact</w:t>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Fonts w:ascii="Roboto" w:cs="Roboto" w:eastAsia="Roboto" w:hAnsi="Roboto"/>
          <w:rtl w:val="0"/>
        </w:rPr>
        <w:t xml:space="preserve">[Insert first and last name]</w:t>
      </w:r>
    </w:p>
    <w:p w:rsidR="00000000" w:rsidDel="00000000" w:rsidP="00000000" w:rsidRDefault="00000000" w:rsidRPr="00000000" w14:paraId="00000012">
      <w:pPr>
        <w:spacing w:after="240" w:before="240" w:lineRule="auto"/>
        <w:rPr>
          <w:rFonts w:ascii="Roboto" w:cs="Roboto" w:eastAsia="Roboto" w:hAnsi="Roboto"/>
        </w:rPr>
      </w:pPr>
      <w:r w:rsidDel="00000000" w:rsidR="00000000" w:rsidRPr="00000000">
        <w:rPr>
          <w:rFonts w:ascii="Roboto" w:cs="Roboto" w:eastAsia="Roboto" w:hAnsi="Roboto"/>
          <w:rtl w:val="0"/>
        </w:rPr>
        <w:t xml:space="preserve">[Insert publisher name]</w:t>
      </w:r>
    </w:p>
    <w:p w:rsidR="00000000" w:rsidDel="00000000" w:rsidP="00000000" w:rsidRDefault="00000000" w:rsidRPr="00000000" w14:paraId="00000013">
      <w:pPr>
        <w:spacing w:after="240" w:before="240" w:lineRule="auto"/>
        <w:rPr/>
      </w:pPr>
      <w:r w:rsidDel="00000000" w:rsidR="00000000" w:rsidRPr="00000000">
        <w:rPr>
          <w:rFonts w:ascii="Roboto" w:cs="Roboto" w:eastAsia="Roboto" w:hAnsi="Roboto"/>
          <w:rtl w:val="0"/>
        </w:rPr>
        <w:t xml:space="preserve">[Insert email address]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bout.jstor.org/blog/a-new-model-for-scholarly-ebooks-publisher-collections/" TargetMode="External"/><Relationship Id="rId5" Type="http://schemas.openxmlformats.org/officeDocument/2006/relationships/styles" Target="styles.xml"/><Relationship Id="rId6" Type="http://schemas.openxmlformats.org/officeDocument/2006/relationships/hyperlink" Target="https://about.jstor.org/blog/a-new-model-for-scholarly-ebooks-publisher-collections/" TargetMode="External"/><Relationship Id="rId7" Type="http://schemas.openxmlformats.org/officeDocument/2006/relationships/hyperlink" Target="https://about.jstor.org/blog/a-new-model-for-scholarly-ebooks-publisher-collections/" TargetMode="External"/><Relationship Id="rId8" Type="http://schemas.openxmlformats.org/officeDocument/2006/relationships/hyperlink" Target="https://about.jstor.org/blog/a-new-model-for-scholarly-ebooks-publisher-collec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